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88" w:rsidRDefault="006B237F" w:rsidP="00A329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рамках национальных проектов «Здравоохранение» и «Туризм и индустрия гостеприимства» стартовали федеральные кампании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«Диспансеризация», </w:t>
      </w:r>
      <w:r>
        <w:rPr>
          <w:rFonts w:ascii="Times New Roman" w:hAnsi="Times New Roman" w:cs="Times New Roman"/>
          <w:sz w:val="24"/>
          <w:szCs w:val="24"/>
        </w:rPr>
        <w:t>«Детское здравоохранение», «Искусственный интеллект в медицине», «Ранняя диагностика артериальной гипертонии», «Конкурс «Почувствуй Россию».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Просим Вас принять участие в  данных проектах.</w:t>
      </w:r>
    </w:p>
    <w:p w:rsidR="00A32988" w:rsidRDefault="00A32988" w:rsidP="00A32988">
      <w:pPr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A3298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«Диспансеризация»</w:t>
      </w:r>
    </w:p>
    <w:p w:rsidR="00A32988" w:rsidRPr="00547946" w:rsidRDefault="00A32988" w:rsidP="00A3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>Охват населения профилактическими медицинскими осмотрами и диспансеризацией – одно</w:t>
      </w:r>
      <w:r w:rsidRPr="0054794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из ключевых направлений национального проекта «Здравоохранение». </w:t>
      </w:r>
    </w:p>
    <w:p w:rsidR="00A32988" w:rsidRPr="00547946" w:rsidRDefault="00A32988" w:rsidP="00A3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>В 2023 году количество</w:t>
      </w:r>
      <w:r w:rsidRPr="0054794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>прошедших диспансеризацию и профилактические осмотры составило более 87 млн. граждан.</w:t>
      </w:r>
      <w:r w:rsidRPr="0054794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этом году стоит более </w:t>
      </w:r>
      <w:proofErr w:type="gramStart"/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>амбициозная</w:t>
      </w:r>
      <w:proofErr w:type="gramEnd"/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задача – охватить профилактическими мероприятиями</w:t>
      </w:r>
      <w:r w:rsidRPr="0054794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>70% россиян, то есть более 102 млн</w:t>
      </w:r>
      <w:r w:rsidRPr="00547946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человек.</w:t>
      </w:r>
      <w:r w:rsidRPr="0054794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A32988" w:rsidRPr="008C7D2D" w:rsidRDefault="00A32988" w:rsidP="00A3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>Получить направление на диспансеризацию легко — достаточно записаться на портале</w:t>
      </w:r>
      <w:r w:rsidRPr="0054794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>«</w:t>
      </w:r>
      <w:proofErr w:type="spellStart"/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>Госуслуги</w:t>
      </w:r>
      <w:proofErr w:type="spellEnd"/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>», по телефону поликлиники или в регистратуре. В поликлинике для прохождения</w:t>
      </w:r>
      <w:r w:rsidRPr="0054794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C7D2D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профилактических мероприятий понадобится только паспорт и полис ОМС.</w:t>
      </w:r>
    </w:p>
    <w:p w:rsidR="00A32988" w:rsidRPr="00547946" w:rsidRDefault="00A32988" w:rsidP="00A32988">
      <w:pPr>
        <w:rPr>
          <w:rFonts w:ascii="Times New Roman" w:hAnsi="Times New Roman" w:cs="Times New Roman"/>
          <w:sz w:val="24"/>
          <w:szCs w:val="24"/>
        </w:rPr>
      </w:pPr>
    </w:p>
    <w:p w:rsidR="00A32988" w:rsidRDefault="00A32988" w:rsidP="00A32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15025" cy="58102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988" w:rsidRPr="00A32988" w:rsidRDefault="00A32988" w:rsidP="00A32988">
      <w:pPr>
        <w:rPr>
          <w:rFonts w:ascii="Times New Roman" w:hAnsi="Times New Roman" w:cs="Times New Roman"/>
          <w:b/>
          <w:sz w:val="24"/>
          <w:szCs w:val="24"/>
        </w:rPr>
      </w:pPr>
      <w:r w:rsidRPr="00A32988">
        <w:rPr>
          <w:rFonts w:ascii="Times New Roman" w:hAnsi="Times New Roman" w:cs="Times New Roman"/>
          <w:b/>
          <w:sz w:val="24"/>
          <w:szCs w:val="24"/>
        </w:rPr>
        <w:t>«Детское здравоохранение»</w:t>
      </w:r>
    </w:p>
    <w:p w:rsidR="00A32988" w:rsidRPr="00547946" w:rsidRDefault="00A32988" w:rsidP="00A3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47946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Благодаря нацпроекту «Здравоохранение» продолжается обновление и модернизация детских больниц и отделений, поставляется новое оборудование, которое помогает спасать жизни маленьким пациентам. К концу 2024 года в рамках нацпроекта «Здравоохранение» для создания современной инфраструктуры оказания медицинской помощи детям всех возрастов планируется ввести в эксплуатацию 29 детских больниц и корпусов. Сохраняется высокий охват детей до 17 лет профилактическими медицинскими осмотрами, в 2023 году он составил почти 96%</w:t>
      </w:r>
    </w:p>
    <w:p w:rsidR="006B237F" w:rsidRDefault="006B237F"/>
    <w:p w:rsidR="006B237F" w:rsidRDefault="006B237F">
      <w:r>
        <w:rPr>
          <w:noProof/>
        </w:rPr>
        <w:drawing>
          <wp:inline distT="0" distB="0" distL="0" distR="0">
            <wp:extent cx="5972175" cy="3990975"/>
            <wp:effectExtent l="19050" t="0" r="9525" b="0"/>
            <wp:docPr id="3" name="Рисунок 3" descr="Скачать картинки Здравоохранение детей, стоковые фо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 картинки Здравоохранение детей, стоковые фото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7F" w:rsidRDefault="006B237F"/>
    <w:p w:rsidR="00A32988" w:rsidRPr="00A32988" w:rsidRDefault="00A32988" w:rsidP="00A329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88">
        <w:rPr>
          <w:rFonts w:ascii="Times New Roman" w:hAnsi="Times New Roman" w:cs="Times New Roman"/>
          <w:b/>
          <w:sz w:val="24"/>
          <w:szCs w:val="24"/>
        </w:rPr>
        <w:t>«Искусственный интеллект в медицине»</w:t>
      </w:r>
    </w:p>
    <w:p w:rsidR="00A32988" w:rsidRDefault="00A32988" w:rsidP="00A3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B300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Благодаря нацпроекту «Здравоохранение», который реализуется по решению Президента, в больницах и поликлиниках регионов нашей страны продолжается </w:t>
      </w:r>
      <w:proofErr w:type="spellStart"/>
      <w:r w:rsidRPr="00FB300B">
        <w:rPr>
          <w:rFonts w:ascii="Times New Roman" w:eastAsia="Times New Roman" w:hAnsi="Times New Roman" w:cs="Times New Roman"/>
          <w:color w:val="1A1A1A"/>
          <w:sz w:val="24"/>
          <w:szCs w:val="24"/>
        </w:rPr>
        <w:t>цифровизация</w:t>
      </w:r>
      <w:proofErr w:type="spellEnd"/>
      <w:r w:rsidRPr="00FB300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здравоохранения. Так, отдельное внимание уделено внедрению цифрового медицинского профиля, который объединяет в себе информацию о состоянии здоровья и оказанных медицинских услугах. Кроме того, приоритетными направлениями остаются формирование электронной медицинской карты, включающей в себя все данные, повторные исследования, в том числе полученные с медицинского оборудования.</w:t>
      </w:r>
    </w:p>
    <w:p w:rsidR="00A32988" w:rsidRPr="00FB300B" w:rsidRDefault="00A32988" w:rsidP="00A3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B300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данным Минздрава России, в 2023 году в 85 субъектах Российской Федерации внедрили 106 медицинских изделий с искусственным интеллектом. Сегодня ИИ способствует созданию условий для повышения качества услуг в сфере здравоохранения. Умные технологии позволяют выявлять признаки заболеваний на раннем этапе, проводить профилактические обследования, подбирать оптимальные дозировки лекарственных препаратов и даже увеличивать точность хирургических вмешательств. Искусственный интеллект – не только помощник врача, но и технология, меняющая качество жизни людей.</w:t>
      </w:r>
    </w:p>
    <w:p w:rsidR="00A32988" w:rsidRDefault="00A32988" w:rsidP="00A3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B300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Внедрение всех остальных инноваций проходит вокруг цифровой модели пациента, куда есть возможность по цифровому профилю пациента сформировать индивидуальную программу лечения, реабилитации и профилактики. Мы сегодня уже внедрили 45 млн. цифровых профилей. </w:t>
      </w:r>
      <w:proofErr w:type="gramStart"/>
      <w:r w:rsidRPr="00FB300B">
        <w:rPr>
          <w:rFonts w:ascii="Times New Roman" w:eastAsia="Times New Roman" w:hAnsi="Times New Roman" w:cs="Times New Roman"/>
          <w:color w:val="1A1A1A"/>
          <w:sz w:val="24"/>
          <w:szCs w:val="24"/>
        </w:rPr>
        <w:t>С прошлого года началось внедрение во всех регионах программ с искусственным интеллектом, всего 26 в стране зарегистрировано, 19 из них российские.</w:t>
      </w:r>
      <w:proofErr w:type="gramEnd"/>
    </w:p>
    <w:p w:rsidR="00A32988" w:rsidRPr="00FB300B" w:rsidRDefault="00A32988" w:rsidP="00A3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B300B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 Цифровая трансформация, создание цифровых сервисов позволяет повлиять на процесс оказания медицинской, сделав его оптимальным и более эффективным с точки зрения трудозатрат медицинского работника, </w:t>
      </w:r>
      <w:proofErr w:type="gramStart"/>
      <w:r w:rsidRPr="00FB300B">
        <w:rPr>
          <w:rFonts w:ascii="Times New Roman" w:eastAsia="Times New Roman" w:hAnsi="Times New Roman" w:cs="Times New Roman"/>
          <w:color w:val="1A1A1A"/>
          <w:sz w:val="24"/>
          <w:szCs w:val="24"/>
        </w:rPr>
        <w:t>что</w:t>
      </w:r>
      <w:proofErr w:type="gramEnd"/>
      <w:r w:rsidRPr="00FB300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безусловно повысит доступность медицинского помощи для пациента и его удовлетворенность.</w:t>
      </w:r>
    </w:p>
    <w:p w:rsidR="00A32988" w:rsidRDefault="00A32988"/>
    <w:p w:rsidR="00A32988" w:rsidRDefault="00A32988"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6" name="Рисунок 6" descr="Искусственный интеллект в медицине: помощь врачам и пациент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скусственный интеллект в медицине: помощь врачам и пациента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49" w:rsidRDefault="00364949"/>
    <w:p w:rsidR="00364949" w:rsidRPr="00364949" w:rsidRDefault="00364949" w:rsidP="003649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949">
        <w:rPr>
          <w:rFonts w:ascii="Times New Roman" w:hAnsi="Times New Roman" w:cs="Times New Roman"/>
          <w:b/>
          <w:sz w:val="24"/>
          <w:szCs w:val="24"/>
        </w:rPr>
        <w:t>«Ранняя диагностика артериальной гипертонии»</w:t>
      </w:r>
    </w:p>
    <w:p w:rsidR="00364949" w:rsidRDefault="00364949" w:rsidP="00364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Профилактика </w:t>
      </w:r>
      <w:proofErr w:type="spellStart"/>
      <w:proofErr w:type="gramStart"/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сердечно-сосудистых</w:t>
      </w:r>
      <w:proofErr w:type="spellEnd"/>
      <w:proofErr w:type="gramEnd"/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заболеваний – приоритет национального проекта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«Здравоохранение».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364949" w:rsidRDefault="00364949" w:rsidP="00364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Почему артериальную гипертонию называют «Тихим убийцей»? Во-первых, это состояние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часто развивается без видимых симптомов. Во-вторых, это фактор риска для смертельно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опасных</w:t>
      </w:r>
      <w:proofErr w:type="gramEnd"/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инфаркта и инсульта. Эффективность раннего выявления артериальной гипертонии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напрямую зависит от информированности людей. Если человек регулярно контролирует свое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давление, то вероятность развития </w:t>
      </w:r>
      <w:proofErr w:type="spellStart"/>
      <w:proofErr w:type="gramStart"/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сердечно-сосудистых</w:t>
      </w:r>
      <w:proofErr w:type="spellEnd"/>
      <w:proofErr w:type="gramEnd"/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заболеваний снижается.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364949" w:rsidRDefault="00364949" w:rsidP="00364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Сценаристы фильмов ужасов часто играют на человеческих страхах и фобиях, чтобы держать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зрителя в напряжении. Есть много вещей, которых человек совершенно беспочвенно боится. 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стоит ли переживать из-за несуществующих угроз, если прямо сейчас внутри может затаиться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«тихий убийца»? Привычка регулярно измерять артериальное давление не позволит застать вас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врасплох. </w:t>
      </w:r>
    </w:p>
    <w:p w:rsidR="00364949" w:rsidRDefault="00364949" w:rsidP="00364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Начиная с 30 лет, следить за давлением необходимо абсолютно всем. Если эпизод повышения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артериального давления </w:t>
      </w:r>
      <w:proofErr w:type="gramStart"/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случился</w:t>
      </w:r>
      <w:proofErr w:type="gramEnd"/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хотя бы один раз, проверки должны стать систематическими.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Нормальное давление не должно превышать 120 на 80</w:t>
      </w:r>
      <w:proofErr w:type="gramStart"/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</w:t>
      </w:r>
      <w:proofErr w:type="gramEnd"/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ри показателях выше 140 на 90 —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C2969">
        <w:rPr>
          <w:rFonts w:ascii="Times New Roman" w:eastAsia="Times New Roman" w:hAnsi="Times New Roman" w:cs="Times New Roman"/>
          <w:color w:val="1A1A1A"/>
          <w:sz w:val="24"/>
          <w:szCs w:val="24"/>
        </w:rPr>
        <w:t>важно обратиться к врачу.</w:t>
      </w:r>
    </w:p>
    <w:p w:rsidR="00364949" w:rsidRDefault="00364949" w:rsidP="00364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4949" w:rsidRDefault="00364949" w:rsidP="00364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4949" w:rsidRDefault="00364949" w:rsidP="00364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4949" w:rsidRDefault="00364949" w:rsidP="00364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4949" w:rsidRPr="004C2969" w:rsidRDefault="00364949" w:rsidP="00364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4949" w:rsidRDefault="008332AB" w:rsidP="00364949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то такое артериальная гипертензия?" style="width:23.65pt;height:23.65pt"/>
        </w:pict>
      </w:r>
    </w:p>
    <w:p w:rsidR="00364949" w:rsidRDefault="00364949">
      <w:r>
        <w:rPr>
          <w:noProof/>
        </w:rPr>
        <w:drawing>
          <wp:inline distT="0" distB="0" distL="0" distR="0">
            <wp:extent cx="5940425" cy="3061636"/>
            <wp:effectExtent l="19050" t="0" r="3175" b="0"/>
            <wp:docPr id="10" name="Рисунок 10" descr="Гипертония - это «Тихий убийца» | Консультативно-диагностический центр  &quot;Виве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ипертония - это «Тихий убийца» | Консультативно-диагностический центр  &quot;Вивея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49" w:rsidRDefault="00364949"/>
    <w:p w:rsidR="00364949" w:rsidRDefault="00364949" w:rsidP="00364949">
      <w:pPr>
        <w:jc w:val="center"/>
        <w:rPr>
          <w:b/>
          <w:sz w:val="28"/>
          <w:szCs w:val="28"/>
        </w:rPr>
      </w:pPr>
    </w:p>
    <w:p w:rsidR="00364949" w:rsidRPr="00EF69E8" w:rsidRDefault="00EF69E8" w:rsidP="00EF69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9E8">
        <w:rPr>
          <w:rFonts w:ascii="Times New Roman" w:hAnsi="Times New Roman" w:cs="Times New Roman"/>
          <w:b/>
          <w:sz w:val="24"/>
          <w:szCs w:val="24"/>
        </w:rPr>
        <w:t>«Конкурс</w:t>
      </w:r>
      <w:r w:rsidR="00364949" w:rsidRPr="00EF69E8">
        <w:rPr>
          <w:rFonts w:ascii="Times New Roman" w:hAnsi="Times New Roman" w:cs="Times New Roman"/>
          <w:b/>
          <w:sz w:val="24"/>
          <w:szCs w:val="24"/>
        </w:rPr>
        <w:t xml:space="preserve"> «Почувствуй Россию» </w:t>
      </w:r>
    </w:p>
    <w:p w:rsidR="00364949" w:rsidRPr="00EF69E8" w:rsidRDefault="00364949" w:rsidP="00EF6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E8">
        <w:rPr>
          <w:rFonts w:ascii="Times New Roman" w:hAnsi="Times New Roman" w:cs="Times New Roman"/>
          <w:sz w:val="24"/>
          <w:szCs w:val="24"/>
        </w:rPr>
        <w:t xml:space="preserve">В рамках проведения международной выставки-форума «Россия» в Москве на ВДНХ проходит множество активностей для жителей нашей страны и иностранцев. </w:t>
      </w:r>
      <w:proofErr w:type="gramStart"/>
      <w:r w:rsidRPr="00EF69E8">
        <w:rPr>
          <w:rFonts w:ascii="Times New Roman" w:hAnsi="Times New Roman" w:cs="Times New Roman"/>
          <w:sz w:val="24"/>
          <w:szCs w:val="24"/>
        </w:rPr>
        <w:t>Одна из них —</w:t>
      </w:r>
      <w:r w:rsidR="008856C7">
        <w:rPr>
          <w:rFonts w:ascii="Times New Roman" w:hAnsi="Times New Roman" w:cs="Times New Roman"/>
          <w:sz w:val="24"/>
          <w:szCs w:val="24"/>
        </w:rPr>
        <w:t xml:space="preserve"> </w:t>
      </w:r>
      <w:r w:rsidRPr="00EF69E8">
        <w:rPr>
          <w:rFonts w:ascii="Times New Roman" w:hAnsi="Times New Roman" w:cs="Times New Roman"/>
          <w:b/>
          <w:sz w:val="24"/>
          <w:szCs w:val="24"/>
        </w:rPr>
        <w:t>конкурс лучших авторских маршрутов «Почувствуй Россию»</w:t>
      </w:r>
      <w:r w:rsidRPr="00EF69E8">
        <w:rPr>
          <w:rFonts w:ascii="Times New Roman" w:hAnsi="Times New Roman" w:cs="Times New Roman"/>
          <w:sz w:val="24"/>
          <w:szCs w:val="24"/>
        </w:rPr>
        <w:t>, в котором может принять участие любой желающий старше 18 лет.</w:t>
      </w:r>
      <w:proofErr w:type="gramEnd"/>
      <w:r w:rsidRPr="00EF69E8">
        <w:rPr>
          <w:rFonts w:ascii="Times New Roman" w:hAnsi="Times New Roman" w:cs="Times New Roman"/>
          <w:sz w:val="24"/>
          <w:szCs w:val="24"/>
        </w:rPr>
        <w:t xml:space="preserve"> Заявки принимаются </w:t>
      </w:r>
      <w:r w:rsidRPr="00EF69E8">
        <w:rPr>
          <w:rFonts w:ascii="Times New Roman" w:hAnsi="Times New Roman" w:cs="Times New Roman"/>
          <w:b/>
          <w:sz w:val="24"/>
          <w:szCs w:val="24"/>
        </w:rPr>
        <w:t>до 17 июня 2024 года</w:t>
      </w:r>
      <w:r w:rsidRPr="00EF69E8">
        <w:rPr>
          <w:rFonts w:ascii="Times New Roman" w:hAnsi="Times New Roman" w:cs="Times New Roman"/>
          <w:sz w:val="24"/>
          <w:szCs w:val="24"/>
        </w:rPr>
        <w:t xml:space="preserve">. В качестве призов разыгрываются </w:t>
      </w:r>
      <w:r w:rsidRPr="00EF69E8">
        <w:rPr>
          <w:rFonts w:ascii="Times New Roman" w:hAnsi="Times New Roman" w:cs="Times New Roman"/>
          <w:b/>
          <w:sz w:val="24"/>
          <w:szCs w:val="24"/>
        </w:rPr>
        <w:t>50 туристических сертификатов</w:t>
      </w:r>
      <w:r w:rsidRPr="00EF69E8">
        <w:rPr>
          <w:rFonts w:ascii="Times New Roman" w:hAnsi="Times New Roman" w:cs="Times New Roman"/>
          <w:sz w:val="24"/>
          <w:szCs w:val="24"/>
        </w:rPr>
        <w:t xml:space="preserve"> на путешествия по стране. Победители станут известны</w:t>
      </w:r>
      <w:r w:rsidRPr="00EF69E8">
        <w:rPr>
          <w:rFonts w:ascii="Times New Roman" w:hAnsi="Times New Roman" w:cs="Times New Roman"/>
          <w:b/>
          <w:sz w:val="24"/>
          <w:szCs w:val="24"/>
        </w:rPr>
        <w:t>8 июля 2024 года</w:t>
      </w:r>
      <w:r w:rsidRPr="00EF69E8">
        <w:rPr>
          <w:rFonts w:ascii="Times New Roman" w:hAnsi="Times New Roman" w:cs="Times New Roman"/>
          <w:sz w:val="24"/>
          <w:szCs w:val="24"/>
        </w:rPr>
        <w:t>.</w:t>
      </w:r>
    </w:p>
    <w:p w:rsidR="00364949" w:rsidRPr="00EF69E8" w:rsidRDefault="00364949" w:rsidP="00364949">
      <w:pPr>
        <w:spacing w:after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9E8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совершить самостоятельное (без туроператора) путешествие по России, сделать в пути фотографии, снять небольшое видео о своем путешествии и прислать на почту </w:t>
      </w:r>
      <w:hyperlink r:id="rId9" w:history="1">
        <w:r w:rsidRPr="00EF69E8">
          <w:rPr>
            <w:rStyle w:val="a5"/>
            <w:rFonts w:ascii="Times New Roman" w:hAnsi="Times New Roman" w:cs="Times New Roman"/>
            <w:sz w:val="24"/>
            <w:szCs w:val="24"/>
          </w:rPr>
          <w:t>konkurs@nationalpriority.ru</w:t>
        </w:r>
      </w:hyperlink>
      <w:r w:rsidRPr="00EF69E8">
        <w:rPr>
          <w:rFonts w:ascii="Times New Roman" w:hAnsi="Times New Roman" w:cs="Times New Roman"/>
          <w:sz w:val="24"/>
          <w:szCs w:val="24"/>
        </w:rPr>
        <w:t>. Помимо фото и видео, от участников также ждут презентацию путешествия: карту с основными точками маршрута, рекомендации по выбору транспорта, список объектов и занятий, которые подарят самые яркие впечатления.</w:t>
      </w:r>
      <w:proofErr w:type="gramEnd"/>
    </w:p>
    <w:p w:rsidR="00364949" w:rsidRPr="00EF69E8" w:rsidRDefault="00364949" w:rsidP="00364949">
      <w:pPr>
        <w:spacing w:after="24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9E8">
        <w:rPr>
          <w:rFonts w:ascii="Times New Roman" w:hAnsi="Times New Roman" w:cs="Times New Roman"/>
          <w:b/>
          <w:sz w:val="24"/>
          <w:szCs w:val="24"/>
        </w:rPr>
        <w:t>Конкурсные номинации:</w:t>
      </w:r>
    </w:p>
    <w:p w:rsidR="00364949" w:rsidRPr="00EF69E8" w:rsidRDefault="00364949" w:rsidP="00364949">
      <w:pPr>
        <w:pStyle w:val="a6"/>
        <w:numPr>
          <w:ilvl w:val="0"/>
          <w:numId w:val="1"/>
        </w:numPr>
        <w:spacing w:after="240"/>
        <w:ind w:right="-1"/>
        <w:jc w:val="both"/>
      </w:pPr>
      <w:r w:rsidRPr="00EF69E8">
        <w:t>лучший туристский маршрут для семей с детьми;</w:t>
      </w:r>
    </w:p>
    <w:p w:rsidR="00364949" w:rsidRPr="00EF69E8" w:rsidRDefault="00364949" w:rsidP="00364949">
      <w:pPr>
        <w:pStyle w:val="a6"/>
        <w:numPr>
          <w:ilvl w:val="0"/>
          <w:numId w:val="1"/>
        </w:numPr>
        <w:spacing w:after="240"/>
        <w:ind w:right="-1"/>
        <w:jc w:val="both"/>
      </w:pPr>
      <w:r w:rsidRPr="00EF69E8">
        <w:t>лучший инклюзивный туристский маршрут;</w:t>
      </w:r>
    </w:p>
    <w:p w:rsidR="00364949" w:rsidRPr="00EF69E8" w:rsidRDefault="00364949" w:rsidP="00364949">
      <w:pPr>
        <w:pStyle w:val="a6"/>
        <w:numPr>
          <w:ilvl w:val="0"/>
          <w:numId w:val="1"/>
        </w:numPr>
        <w:spacing w:after="240"/>
        <w:ind w:right="-1"/>
        <w:jc w:val="both"/>
      </w:pPr>
      <w:r w:rsidRPr="00EF69E8">
        <w:t>лучший маршрут промышленного туризма;</w:t>
      </w:r>
    </w:p>
    <w:p w:rsidR="00364949" w:rsidRPr="00EF69E8" w:rsidRDefault="00364949" w:rsidP="00364949">
      <w:pPr>
        <w:pStyle w:val="a6"/>
        <w:numPr>
          <w:ilvl w:val="0"/>
          <w:numId w:val="1"/>
        </w:numPr>
        <w:spacing w:after="240"/>
        <w:ind w:right="-1"/>
        <w:jc w:val="both"/>
      </w:pPr>
      <w:r w:rsidRPr="00EF69E8">
        <w:t>лучший маршрут сельского (</w:t>
      </w:r>
      <w:proofErr w:type="spellStart"/>
      <w:r w:rsidRPr="00EF69E8">
        <w:t>агро</w:t>
      </w:r>
      <w:proofErr w:type="spellEnd"/>
      <w:r w:rsidRPr="00EF69E8">
        <w:t>) туризма;</w:t>
      </w:r>
    </w:p>
    <w:p w:rsidR="00364949" w:rsidRPr="00EF69E8" w:rsidRDefault="00364949" w:rsidP="00364949">
      <w:pPr>
        <w:pStyle w:val="a6"/>
        <w:numPr>
          <w:ilvl w:val="0"/>
          <w:numId w:val="1"/>
        </w:numPr>
        <w:spacing w:after="240"/>
        <w:ind w:right="-1"/>
        <w:jc w:val="both"/>
      </w:pPr>
      <w:r w:rsidRPr="00EF69E8">
        <w:t xml:space="preserve">лучшее </w:t>
      </w:r>
      <w:proofErr w:type="spellStart"/>
      <w:r w:rsidRPr="00EF69E8">
        <w:t>экопутешествие</w:t>
      </w:r>
      <w:proofErr w:type="spellEnd"/>
      <w:r w:rsidRPr="00EF69E8">
        <w:t xml:space="preserve"> (туристский маршрут по природным территориям, в т.ч. национальным паркам, заповедникам).</w:t>
      </w:r>
    </w:p>
    <w:p w:rsidR="00364949" w:rsidRDefault="00364949" w:rsidP="008856C7">
      <w:pPr>
        <w:spacing w:after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69E8">
        <w:rPr>
          <w:rFonts w:ascii="Times New Roman" w:hAnsi="Times New Roman" w:cs="Times New Roman"/>
          <w:sz w:val="24"/>
          <w:szCs w:val="24"/>
        </w:rPr>
        <w:t xml:space="preserve">Оценивать работы будут приглашенные эксперты туристической индустрии. </w:t>
      </w:r>
    </w:p>
    <w:p w:rsidR="008856C7" w:rsidRDefault="008856C7" w:rsidP="008856C7">
      <w:pPr>
        <w:spacing w:after="24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856C7" w:rsidRPr="00EF69E8" w:rsidRDefault="008856C7" w:rsidP="008856C7">
      <w:pPr>
        <w:spacing w:after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2862955"/>
            <wp:effectExtent l="19050" t="0" r="3175" b="0"/>
            <wp:docPr id="13" name="Рисунок 13" descr="Победители конкурса «Почувствуй Россию» получат 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бедители конкурса «Почувствуй Россию» получат 50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6C7" w:rsidRPr="00EF69E8" w:rsidSect="00A3298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C3EEC"/>
    <w:multiLevelType w:val="hybridMultilevel"/>
    <w:tmpl w:val="2A3E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6B237F"/>
    <w:rsid w:val="00364949"/>
    <w:rsid w:val="006B237F"/>
    <w:rsid w:val="008332AB"/>
    <w:rsid w:val="008856C7"/>
    <w:rsid w:val="00A32988"/>
    <w:rsid w:val="00EF69E8"/>
    <w:rsid w:val="00FA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3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4949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36494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364949"/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konkurs@nationalprior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2024-05-29T04:26:00Z</dcterms:created>
  <dcterms:modified xsi:type="dcterms:W3CDTF">2024-05-29T06:32:00Z</dcterms:modified>
</cp:coreProperties>
</file>